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F784E">
      <w:pPr>
        <w:pStyle w:val="9"/>
        <w:bidi w:val="0"/>
        <w:rPr>
          <w:rFonts w:hint="eastAsia" w:eastAsia="方正小标宋简体"/>
          <w:lang w:eastAsia="zh-CN"/>
        </w:rPr>
      </w:pPr>
      <w:r>
        <w:rPr>
          <w:rFonts w:hint="eastAsia"/>
        </w:rPr>
        <w:t>行政权力事项委托协议书</w:t>
      </w:r>
      <w:bookmarkStart w:id="0" w:name="_GoBack"/>
      <w:bookmarkEnd w:id="0"/>
    </w:p>
    <w:p w14:paraId="5EA68AE2">
      <w:pPr>
        <w:ind w:left="0" w:leftChars="0" w:firstLine="0" w:firstLineChars="0"/>
        <w:rPr>
          <w:rFonts w:hint="eastAsia"/>
        </w:rPr>
      </w:pPr>
    </w:p>
    <w:p w14:paraId="0F9C43EB">
      <w:pPr>
        <w:ind w:left="0" w:leftChars="0" w:firstLine="0" w:firstLineChars="0"/>
        <w:rPr>
          <w:rFonts w:hint="default" w:eastAsia="仿宋"/>
          <w:lang w:val="en-US" w:eastAsia="zh-CN"/>
        </w:rPr>
      </w:pPr>
      <w:r>
        <w:rPr>
          <w:rFonts w:hint="eastAsia"/>
        </w:rPr>
        <w:t>委托单位：</w:t>
      </w:r>
      <w:r>
        <w:rPr>
          <w:rFonts w:hint="eastAsia"/>
          <w:lang w:val="en-US" w:eastAsia="zh-CN"/>
        </w:rPr>
        <w:t>南阳市林业局</w:t>
      </w:r>
    </w:p>
    <w:p w14:paraId="3C8DDAFA">
      <w:pPr>
        <w:ind w:left="0" w:leftChars="0" w:firstLine="0" w:firstLineChars="0"/>
        <w:rPr>
          <w:rFonts w:hint="default" w:eastAsia="仿宋"/>
          <w:lang w:val="en-US" w:eastAsia="zh-CN"/>
        </w:rPr>
      </w:pPr>
      <w:r>
        <w:rPr>
          <w:rFonts w:hint="eastAsia"/>
        </w:rPr>
        <w:t>地    址：</w:t>
      </w:r>
      <w:r>
        <w:rPr>
          <w:rFonts w:hint="eastAsia"/>
          <w:lang w:val="en-US" w:eastAsia="zh-CN"/>
        </w:rPr>
        <w:t>南阳市卧龙区滨河路7号</w:t>
      </w:r>
    </w:p>
    <w:p w14:paraId="39C44775">
      <w:pPr>
        <w:ind w:left="0" w:leftChars="0" w:firstLine="0" w:firstLineChars="0"/>
        <w:rPr>
          <w:rFonts w:hint="default" w:eastAsia="仿宋"/>
          <w:lang w:val="en-US" w:eastAsia="zh-CN"/>
        </w:rPr>
      </w:pPr>
      <w:r>
        <w:rPr>
          <w:rFonts w:hint="eastAsia"/>
        </w:rPr>
        <w:t>受委托单位：</w:t>
      </w:r>
      <w:r>
        <w:rPr>
          <w:rFonts w:hint="eastAsia"/>
          <w:lang w:val="en-US" w:eastAsia="zh-CN"/>
        </w:rPr>
        <w:t>南阳伏牛山地质公园保护发展中心</w:t>
      </w:r>
    </w:p>
    <w:p w14:paraId="39726803">
      <w:pPr>
        <w:ind w:left="0" w:leftChars="0" w:firstLine="0" w:firstLineChars="0"/>
        <w:rPr>
          <w:rFonts w:hint="eastAsia"/>
          <w:lang w:val="en-US" w:eastAsia="zh-CN"/>
        </w:rPr>
      </w:pPr>
      <w:r>
        <w:rPr>
          <w:rFonts w:hint="eastAsia"/>
        </w:rPr>
        <w:t>地    址：</w:t>
      </w:r>
      <w:r>
        <w:rPr>
          <w:rFonts w:hint="eastAsia"/>
          <w:lang w:val="en-US" w:eastAsia="zh-CN"/>
        </w:rPr>
        <w:t>南阳市卧龙区滨河路7号</w:t>
      </w:r>
    </w:p>
    <w:p w14:paraId="78ADB690">
      <w:pPr>
        <w:bidi w:val="0"/>
        <w:rPr>
          <w:rFonts w:hint="eastAsia"/>
          <w:lang w:val="en-US" w:eastAsia="zh-CN"/>
        </w:rPr>
      </w:pPr>
      <w:r>
        <w:rPr>
          <w:rFonts w:hint="eastAsia"/>
          <w:lang w:val="en-US" w:eastAsia="zh-CN"/>
        </w:rPr>
        <w:t>为推动职能优化调整，进一步简政放权，依据《中华人民共和国行政处罚法》《古生物化石保护条例》《古生物化石保护条例实施办法》等规定，南阳市林业局将未经批准发掘古生物化石的处罚等8项行政处罚事项委托南阳伏牛山地质公园保护发展中心实施。</w:t>
      </w:r>
    </w:p>
    <w:p w14:paraId="2FC7B046">
      <w:pPr>
        <w:pStyle w:val="2"/>
        <w:bidi w:val="0"/>
        <w:rPr>
          <w:rFonts w:hint="eastAsia"/>
          <w:lang w:val="en-US" w:eastAsia="zh-CN"/>
        </w:rPr>
      </w:pPr>
      <w:r>
        <w:rPr>
          <w:rFonts w:hint="eastAsia"/>
          <w:lang w:val="en-US" w:eastAsia="zh-CN"/>
        </w:rPr>
        <w:t>一、委托事项</w:t>
      </w:r>
    </w:p>
    <w:tbl>
      <w:tblPr>
        <w:tblStyle w:val="5"/>
        <w:tblW w:w="105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56" w:type="dxa"/>
          <w:left w:w="96" w:type="dxa"/>
          <w:bottom w:w="56" w:type="dxa"/>
          <w:right w:w="96" w:type="dxa"/>
        </w:tblCellMar>
      </w:tblPr>
      <w:tblGrid>
        <w:gridCol w:w="752"/>
        <w:gridCol w:w="3154"/>
        <w:gridCol w:w="1192"/>
        <w:gridCol w:w="2554"/>
        <w:gridCol w:w="2913"/>
      </w:tblGrid>
      <w:tr w14:paraId="782EA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tblHeader/>
          <w:jc w:val="center"/>
        </w:trPr>
        <w:tc>
          <w:tcPr>
            <w:tcW w:w="752" w:type="dxa"/>
            <w:tcBorders>
              <w:top w:val="single" w:color="000000" w:sz="12" w:space="0"/>
              <w:left w:val="single" w:color="000000" w:sz="12" w:space="0"/>
              <w:bottom w:val="single" w:color="000000" w:sz="8" w:space="0"/>
              <w:right w:val="single" w:color="000000" w:sz="8" w:space="0"/>
            </w:tcBorders>
            <w:shd w:val="clear" w:color="auto" w:fill="auto"/>
            <w:vAlign w:val="center"/>
          </w:tcPr>
          <w:p w14:paraId="4E57895C">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3154" w:type="dxa"/>
            <w:tcBorders>
              <w:top w:val="single" w:color="000000" w:sz="12" w:space="0"/>
              <w:left w:val="nil"/>
              <w:bottom w:val="single" w:color="000000" w:sz="8" w:space="0"/>
              <w:right w:val="single" w:color="000000" w:sz="8" w:space="0"/>
            </w:tcBorders>
            <w:shd w:val="clear" w:color="auto" w:fill="auto"/>
            <w:vAlign w:val="center"/>
          </w:tcPr>
          <w:p w14:paraId="6BB4773B">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职权名称</w:t>
            </w:r>
          </w:p>
        </w:tc>
        <w:tc>
          <w:tcPr>
            <w:tcW w:w="1192" w:type="dxa"/>
            <w:tcBorders>
              <w:top w:val="single" w:color="000000" w:sz="12" w:space="0"/>
              <w:left w:val="nil"/>
              <w:bottom w:val="single" w:color="000000" w:sz="8" w:space="0"/>
              <w:right w:val="single" w:color="000000" w:sz="8" w:space="0"/>
            </w:tcBorders>
            <w:shd w:val="clear" w:color="auto" w:fill="auto"/>
            <w:vAlign w:val="center"/>
          </w:tcPr>
          <w:p w14:paraId="67945E0A">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职权类别</w:t>
            </w:r>
          </w:p>
        </w:tc>
        <w:tc>
          <w:tcPr>
            <w:tcW w:w="2554" w:type="dxa"/>
            <w:tcBorders>
              <w:top w:val="single" w:color="000000" w:sz="12" w:space="0"/>
              <w:left w:val="nil"/>
              <w:bottom w:val="single" w:color="000000" w:sz="8" w:space="0"/>
              <w:right w:val="single" w:color="000000" w:sz="8" w:space="0"/>
            </w:tcBorders>
            <w:shd w:val="clear" w:color="auto" w:fill="auto"/>
            <w:vAlign w:val="center"/>
          </w:tcPr>
          <w:p w14:paraId="3E3FA76D">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法律依据</w:t>
            </w:r>
          </w:p>
        </w:tc>
        <w:tc>
          <w:tcPr>
            <w:tcW w:w="2913" w:type="dxa"/>
            <w:tcBorders>
              <w:top w:val="single" w:color="000000" w:sz="12" w:space="0"/>
              <w:left w:val="nil"/>
              <w:bottom w:val="single" w:color="000000" w:sz="8" w:space="0"/>
              <w:right w:val="single" w:color="000000" w:sz="12" w:space="0"/>
            </w:tcBorders>
            <w:shd w:val="clear" w:color="auto" w:fill="auto"/>
            <w:vAlign w:val="center"/>
          </w:tcPr>
          <w:p w14:paraId="6B9CE56F">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受委托单位</w:t>
            </w:r>
          </w:p>
        </w:tc>
      </w:tr>
      <w:tr w14:paraId="1D8ED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752" w:type="dxa"/>
            <w:tcBorders>
              <w:top w:val="nil"/>
              <w:left w:val="single" w:color="000000" w:sz="12" w:space="0"/>
              <w:bottom w:val="single" w:color="000000" w:sz="8" w:space="0"/>
              <w:right w:val="single" w:color="000000" w:sz="8" w:space="0"/>
            </w:tcBorders>
            <w:shd w:val="clear" w:color="auto" w:fill="auto"/>
            <w:vAlign w:val="center"/>
          </w:tcPr>
          <w:p w14:paraId="72F6E587">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3154" w:type="dxa"/>
            <w:tcBorders>
              <w:top w:val="nil"/>
              <w:left w:val="nil"/>
              <w:bottom w:val="single" w:color="000000" w:sz="8" w:space="0"/>
              <w:right w:val="single" w:color="000000" w:sz="8" w:space="0"/>
            </w:tcBorders>
            <w:shd w:val="clear" w:color="auto" w:fill="auto"/>
            <w:vAlign w:val="center"/>
          </w:tcPr>
          <w:p w14:paraId="71878BD1">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未经批准发掘古生物化石的；未按照批准的发掘方案发掘古生物化石的处罚</w:t>
            </w:r>
          </w:p>
        </w:tc>
        <w:tc>
          <w:tcPr>
            <w:tcW w:w="1192" w:type="dxa"/>
            <w:tcBorders>
              <w:top w:val="nil"/>
              <w:left w:val="nil"/>
              <w:bottom w:val="single" w:color="000000" w:sz="8" w:space="0"/>
              <w:right w:val="single" w:color="000000" w:sz="8" w:space="0"/>
            </w:tcBorders>
            <w:shd w:val="clear" w:color="auto" w:fill="auto"/>
            <w:vAlign w:val="center"/>
          </w:tcPr>
          <w:p w14:paraId="610D5BFE">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行政处罚</w:t>
            </w:r>
          </w:p>
        </w:tc>
        <w:tc>
          <w:tcPr>
            <w:tcW w:w="2554" w:type="dxa"/>
            <w:tcBorders>
              <w:top w:val="nil"/>
              <w:left w:val="nil"/>
              <w:bottom w:val="single" w:color="000000" w:sz="8" w:space="0"/>
              <w:right w:val="single" w:color="000000" w:sz="8" w:space="0"/>
            </w:tcBorders>
            <w:shd w:val="clear" w:color="auto" w:fill="auto"/>
            <w:vAlign w:val="center"/>
          </w:tcPr>
          <w:p w14:paraId="16D98757">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《古生物化石保护条例》（2019修正）第三十六条、《古生物化石保护条例实施办法》第五十条</w:t>
            </w:r>
          </w:p>
        </w:tc>
        <w:tc>
          <w:tcPr>
            <w:tcW w:w="2913" w:type="dxa"/>
            <w:tcBorders>
              <w:top w:val="nil"/>
              <w:left w:val="nil"/>
              <w:bottom w:val="single" w:color="000000" w:sz="8" w:space="0"/>
              <w:right w:val="single" w:color="000000" w:sz="12" w:space="0"/>
            </w:tcBorders>
            <w:shd w:val="clear" w:color="auto" w:fill="auto"/>
            <w:vAlign w:val="center"/>
          </w:tcPr>
          <w:p w14:paraId="35EFCDA0">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南阳伏牛山地质公园保护发展中心</w:t>
            </w:r>
          </w:p>
        </w:tc>
      </w:tr>
      <w:tr w14:paraId="1C834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752" w:type="dxa"/>
            <w:tcBorders>
              <w:top w:val="nil"/>
              <w:left w:val="single" w:color="000000" w:sz="12" w:space="0"/>
              <w:bottom w:val="single" w:color="000000" w:sz="8" w:space="0"/>
              <w:right w:val="single" w:color="000000" w:sz="8" w:space="0"/>
            </w:tcBorders>
            <w:shd w:val="clear" w:color="auto" w:fill="auto"/>
            <w:vAlign w:val="center"/>
          </w:tcPr>
          <w:p w14:paraId="63222EB1">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3154" w:type="dxa"/>
            <w:tcBorders>
              <w:top w:val="nil"/>
              <w:left w:val="nil"/>
              <w:bottom w:val="single" w:color="000000" w:sz="8" w:space="0"/>
              <w:right w:val="single" w:color="000000" w:sz="8" w:space="0"/>
            </w:tcBorders>
            <w:shd w:val="clear" w:color="auto" w:fill="auto"/>
            <w:vAlign w:val="center"/>
          </w:tcPr>
          <w:p w14:paraId="7FEA1DED">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古生物化石发掘单位未按照规定移交发掘的古生物化石逾期不改正，或者造成古生物化石损毁的处罚</w:t>
            </w:r>
          </w:p>
        </w:tc>
        <w:tc>
          <w:tcPr>
            <w:tcW w:w="1192" w:type="dxa"/>
            <w:tcBorders>
              <w:top w:val="nil"/>
              <w:left w:val="nil"/>
              <w:bottom w:val="single" w:color="000000" w:sz="8" w:space="0"/>
              <w:right w:val="single" w:color="000000" w:sz="8" w:space="0"/>
            </w:tcBorders>
            <w:shd w:val="clear" w:color="auto" w:fill="auto"/>
            <w:vAlign w:val="center"/>
          </w:tcPr>
          <w:p w14:paraId="24A0EDEE">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行政处罚</w:t>
            </w:r>
          </w:p>
        </w:tc>
        <w:tc>
          <w:tcPr>
            <w:tcW w:w="2554" w:type="dxa"/>
            <w:tcBorders>
              <w:top w:val="nil"/>
              <w:left w:val="nil"/>
              <w:bottom w:val="single" w:color="000000" w:sz="8" w:space="0"/>
              <w:right w:val="single" w:color="000000" w:sz="8" w:space="0"/>
            </w:tcBorders>
            <w:shd w:val="clear" w:color="auto" w:fill="auto"/>
            <w:vAlign w:val="center"/>
          </w:tcPr>
          <w:p w14:paraId="7624BD2E">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《古生物化石保护条例》（2019修正）第三十七条、《古生物化石保护条例实施办法》（2019修正）第五十二条</w:t>
            </w:r>
          </w:p>
        </w:tc>
        <w:tc>
          <w:tcPr>
            <w:tcW w:w="2913" w:type="dxa"/>
            <w:tcBorders>
              <w:top w:val="nil"/>
              <w:left w:val="nil"/>
              <w:bottom w:val="single" w:color="000000" w:sz="8" w:space="0"/>
              <w:right w:val="single" w:color="000000" w:sz="12" w:space="0"/>
            </w:tcBorders>
            <w:shd w:val="clear" w:color="auto" w:fill="auto"/>
            <w:vAlign w:val="center"/>
          </w:tcPr>
          <w:p w14:paraId="110DE98C">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南阳伏牛山地质公园保护发展中心</w:t>
            </w:r>
          </w:p>
        </w:tc>
      </w:tr>
      <w:tr w14:paraId="2B3B1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752" w:type="dxa"/>
            <w:tcBorders>
              <w:top w:val="nil"/>
              <w:left w:val="single" w:color="000000" w:sz="12" w:space="0"/>
              <w:bottom w:val="single" w:color="000000" w:sz="8" w:space="0"/>
              <w:right w:val="single" w:color="000000" w:sz="8" w:space="0"/>
            </w:tcBorders>
            <w:shd w:val="clear" w:color="auto" w:fill="auto"/>
            <w:vAlign w:val="center"/>
          </w:tcPr>
          <w:p w14:paraId="0FD6F427">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3154" w:type="dxa"/>
            <w:tcBorders>
              <w:top w:val="nil"/>
              <w:left w:val="nil"/>
              <w:bottom w:val="single" w:color="000000" w:sz="8" w:space="0"/>
              <w:right w:val="single" w:color="000000" w:sz="8" w:space="0"/>
            </w:tcBorders>
            <w:shd w:val="clear" w:color="auto" w:fill="auto"/>
            <w:vAlign w:val="center"/>
          </w:tcPr>
          <w:p w14:paraId="5A8398E8">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古生物化石收藏单位不符合收藏条件收藏古生物化石的处罚</w:t>
            </w:r>
          </w:p>
        </w:tc>
        <w:tc>
          <w:tcPr>
            <w:tcW w:w="1192" w:type="dxa"/>
            <w:tcBorders>
              <w:top w:val="nil"/>
              <w:left w:val="nil"/>
              <w:bottom w:val="single" w:color="000000" w:sz="8" w:space="0"/>
              <w:right w:val="single" w:color="000000" w:sz="8" w:space="0"/>
            </w:tcBorders>
            <w:shd w:val="clear" w:color="auto" w:fill="auto"/>
            <w:vAlign w:val="center"/>
          </w:tcPr>
          <w:p w14:paraId="5A46F73F">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行政处罚</w:t>
            </w:r>
          </w:p>
        </w:tc>
        <w:tc>
          <w:tcPr>
            <w:tcW w:w="2554" w:type="dxa"/>
            <w:tcBorders>
              <w:top w:val="nil"/>
              <w:left w:val="nil"/>
              <w:bottom w:val="single" w:color="000000" w:sz="8" w:space="0"/>
              <w:right w:val="single" w:color="000000" w:sz="8" w:space="0"/>
            </w:tcBorders>
            <w:shd w:val="clear" w:color="auto" w:fill="auto"/>
            <w:vAlign w:val="center"/>
          </w:tcPr>
          <w:p w14:paraId="7A73643A">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《古生物化石保护条例》（2019修正）第三十八条、《古生物化石保护条例实施办法》第五十三条</w:t>
            </w:r>
          </w:p>
        </w:tc>
        <w:tc>
          <w:tcPr>
            <w:tcW w:w="2913" w:type="dxa"/>
            <w:tcBorders>
              <w:top w:val="nil"/>
              <w:left w:val="nil"/>
              <w:bottom w:val="single" w:color="000000" w:sz="8" w:space="0"/>
              <w:right w:val="single" w:color="000000" w:sz="12" w:space="0"/>
            </w:tcBorders>
            <w:shd w:val="clear" w:color="auto" w:fill="auto"/>
            <w:vAlign w:val="center"/>
          </w:tcPr>
          <w:p w14:paraId="2A4B8027">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南阳伏牛山地质公园保护发展中心</w:t>
            </w:r>
          </w:p>
        </w:tc>
      </w:tr>
      <w:tr w14:paraId="732D5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752" w:type="dxa"/>
            <w:tcBorders>
              <w:top w:val="nil"/>
              <w:left w:val="single" w:color="000000" w:sz="12" w:space="0"/>
              <w:bottom w:val="single" w:color="000000" w:sz="8" w:space="0"/>
              <w:right w:val="single" w:color="000000" w:sz="8" w:space="0"/>
            </w:tcBorders>
            <w:shd w:val="clear" w:color="auto" w:fill="auto"/>
            <w:vAlign w:val="center"/>
          </w:tcPr>
          <w:p w14:paraId="52FFD5FB">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3154" w:type="dxa"/>
            <w:tcBorders>
              <w:top w:val="nil"/>
              <w:left w:val="nil"/>
              <w:bottom w:val="single" w:color="000000" w:sz="8" w:space="0"/>
              <w:right w:val="single" w:color="000000" w:sz="8" w:space="0"/>
            </w:tcBorders>
            <w:shd w:val="clear" w:color="auto" w:fill="auto"/>
            <w:vAlign w:val="center"/>
          </w:tcPr>
          <w:p w14:paraId="36534D4C">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古生物化石收藏单位未按照规定建立本单位收藏的古生物化石档案的处罚</w:t>
            </w:r>
          </w:p>
        </w:tc>
        <w:tc>
          <w:tcPr>
            <w:tcW w:w="1192" w:type="dxa"/>
            <w:tcBorders>
              <w:top w:val="nil"/>
              <w:left w:val="nil"/>
              <w:bottom w:val="single" w:color="000000" w:sz="8" w:space="0"/>
              <w:right w:val="single" w:color="000000" w:sz="8" w:space="0"/>
            </w:tcBorders>
            <w:shd w:val="clear" w:color="auto" w:fill="auto"/>
            <w:vAlign w:val="center"/>
          </w:tcPr>
          <w:p w14:paraId="43C168BA">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行政处罚</w:t>
            </w:r>
          </w:p>
        </w:tc>
        <w:tc>
          <w:tcPr>
            <w:tcW w:w="2554" w:type="dxa"/>
            <w:tcBorders>
              <w:top w:val="nil"/>
              <w:left w:val="nil"/>
              <w:bottom w:val="single" w:color="000000" w:sz="8" w:space="0"/>
              <w:right w:val="single" w:color="000000" w:sz="8" w:space="0"/>
            </w:tcBorders>
            <w:shd w:val="clear" w:color="auto" w:fill="auto"/>
            <w:vAlign w:val="center"/>
          </w:tcPr>
          <w:p w14:paraId="38F91292">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《古生物化石保护条例》（2019修正）第三十九条</w:t>
            </w:r>
          </w:p>
        </w:tc>
        <w:tc>
          <w:tcPr>
            <w:tcW w:w="2913" w:type="dxa"/>
            <w:tcBorders>
              <w:top w:val="nil"/>
              <w:left w:val="nil"/>
              <w:bottom w:val="single" w:color="000000" w:sz="8" w:space="0"/>
              <w:right w:val="single" w:color="000000" w:sz="12" w:space="0"/>
            </w:tcBorders>
            <w:shd w:val="clear" w:color="auto" w:fill="auto"/>
            <w:vAlign w:val="center"/>
          </w:tcPr>
          <w:p w14:paraId="440BDF59">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南阳伏牛山地质公园保护发展中心</w:t>
            </w:r>
          </w:p>
        </w:tc>
      </w:tr>
      <w:tr w14:paraId="4E79B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752" w:type="dxa"/>
            <w:tcBorders>
              <w:top w:val="nil"/>
              <w:left w:val="single" w:color="000000" w:sz="12" w:space="0"/>
              <w:bottom w:val="single" w:color="000000" w:sz="8" w:space="0"/>
              <w:right w:val="single" w:color="000000" w:sz="8" w:space="0"/>
            </w:tcBorders>
            <w:shd w:val="clear" w:color="auto" w:fill="auto"/>
            <w:vAlign w:val="center"/>
          </w:tcPr>
          <w:p w14:paraId="5B286BC6">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3154" w:type="dxa"/>
            <w:tcBorders>
              <w:top w:val="nil"/>
              <w:left w:val="nil"/>
              <w:bottom w:val="single" w:color="000000" w:sz="8" w:space="0"/>
              <w:right w:val="single" w:color="000000" w:sz="8" w:space="0"/>
            </w:tcBorders>
            <w:shd w:val="clear" w:color="auto" w:fill="auto"/>
            <w:vAlign w:val="center"/>
          </w:tcPr>
          <w:p w14:paraId="28D7CFAE">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国有收藏单位将其收藏的重点保护古生物化石违法转让、交换、赠予给非国有收藏单位或者个人的处罚</w:t>
            </w:r>
          </w:p>
        </w:tc>
        <w:tc>
          <w:tcPr>
            <w:tcW w:w="1192" w:type="dxa"/>
            <w:tcBorders>
              <w:top w:val="nil"/>
              <w:left w:val="nil"/>
              <w:bottom w:val="single" w:color="000000" w:sz="8" w:space="0"/>
              <w:right w:val="single" w:color="000000" w:sz="8" w:space="0"/>
            </w:tcBorders>
            <w:shd w:val="clear" w:color="auto" w:fill="auto"/>
            <w:vAlign w:val="center"/>
          </w:tcPr>
          <w:p w14:paraId="10A3DCF6">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行政处罚</w:t>
            </w:r>
          </w:p>
        </w:tc>
        <w:tc>
          <w:tcPr>
            <w:tcW w:w="2554" w:type="dxa"/>
            <w:tcBorders>
              <w:top w:val="nil"/>
              <w:left w:val="nil"/>
              <w:bottom w:val="single" w:color="000000" w:sz="8" w:space="0"/>
              <w:right w:val="single" w:color="000000" w:sz="8" w:space="0"/>
            </w:tcBorders>
            <w:shd w:val="clear" w:color="auto" w:fill="auto"/>
            <w:vAlign w:val="center"/>
          </w:tcPr>
          <w:p w14:paraId="0F56E52E">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《古生物化石保护条例》（2019修正）第四十一条、《古生物化石保护条例实施办法》（2019修正）第五十五条</w:t>
            </w:r>
          </w:p>
        </w:tc>
        <w:tc>
          <w:tcPr>
            <w:tcW w:w="2913" w:type="dxa"/>
            <w:tcBorders>
              <w:top w:val="nil"/>
              <w:left w:val="nil"/>
              <w:bottom w:val="single" w:color="000000" w:sz="8" w:space="0"/>
              <w:right w:val="single" w:color="000000" w:sz="12" w:space="0"/>
            </w:tcBorders>
            <w:shd w:val="clear" w:color="auto" w:fill="auto"/>
            <w:vAlign w:val="center"/>
          </w:tcPr>
          <w:p w14:paraId="6B5EB911">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南阳伏牛山地质公园保护发展中心</w:t>
            </w:r>
          </w:p>
        </w:tc>
      </w:tr>
      <w:tr w14:paraId="54184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752" w:type="dxa"/>
            <w:tcBorders>
              <w:top w:val="nil"/>
              <w:left w:val="single" w:color="000000" w:sz="12" w:space="0"/>
              <w:bottom w:val="single" w:color="000000" w:sz="8" w:space="0"/>
              <w:right w:val="single" w:color="000000" w:sz="8" w:space="0"/>
            </w:tcBorders>
            <w:shd w:val="clear" w:color="auto" w:fill="auto"/>
            <w:vAlign w:val="center"/>
          </w:tcPr>
          <w:p w14:paraId="57952B03">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3154" w:type="dxa"/>
            <w:tcBorders>
              <w:top w:val="nil"/>
              <w:left w:val="nil"/>
              <w:bottom w:val="single" w:color="000000" w:sz="8" w:space="0"/>
              <w:right w:val="single" w:color="000000" w:sz="8" w:space="0"/>
            </w:tcBorders>
            <w:shd w:val="clear" w:color="auto" w:fill="auto"/>
            <w:vAlign w:val="center"/>
          </w:tcPr>
          <w:p w14:paraId="5BF55893">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单位或者个人将其收藏的重点保护古生物化石转让、交换、赠予、质押给外国人或者外国组织的处罚</w:t>
            </w:r>
          </w:p>
        </w:tc>
        <w:tc>
          <w:tcPr>
            <w:tcW w:w="1192" w:type="dxa"/>
            <w:tcBorders>
              <w:top w:val="nil"/>
              <w:left w:val="nil"/>
              <w:bottom w:val="single" w:color="000000" w:sz="8" w:space="0"/>
              <w:right w:val="single" w:color="000000" w:sz="8" w:space="0"/>
            </w:tcBorders>
            <w:shd w:val="clear" w:color="auto" w:fill="auto"/>
            <w:vAlign w:val="center"/>
          </w:tcPr>
          <w:p w14:paraId="769B1BE5">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行政处罚</w:t>
            </w:r>
          </w:p>
        </w:tc>
        <w:tc>
          <w:tcPr>
            <w:tcW w:w="2554" w:type="dxa"/>
            <w:tcBorders>
              <w:top w:val="nil"/>
              <w:left w:val="nil"/>
              <w:bottom w:val="single" w:color="000000" w:sz="8" w:space="0"/>
              <w:right w:val="single" w:color="000000" w:sz="8" w:space="0"/>
            </w:tcBorders>
            <w:shd w:val="clear" w:color="auto" w:fill="auto"/>
            <w:vAlign w:val="center"/>
          </w:tcPr>
          <w:p w14:paraId="0DD365D6">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《古生物化石保护条例》（2019修正）第四十二条、《古生物化石保护条例实施办法》第五十六条</w:t>
            </w:r>
          </w:p>
        </w:tc>
        <w:tc>
          <w:tcPr>
            <w:tcW w:w="2913" w:type="dxa"/>
            <w:tcBorders>
              <w:top w:val="nil"/>
              <w:left w:val="nil"/>
              <w:bottom w:val="single" w:color="000000" w:sz="8" w:space="0"/>
              <w:right w:val="single" w:color="000000" w:sz="12" w:space="0"/>
            </w:tcBorders>
            <w:shd w:val="clear" w:color="auto" w:fill="auto"/>
            <w:vAlign w:val="center"/>
          </w:tcPr>
          <w:p w14:paraId="28B0AEB1">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南阳伏牛山地质公园保护发展中心</w:t>
            </w:r>
          </w:p>
        </w:tc>
      </w:tr>
      <w:tr w14:paraId="28666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752" w:type="dxa"/>
            <w:tcBorders>
              <w:top w:val="nil"/>
              <w:left w:val="single" w:color="000000" w:sz="12" w:space="0"/>
              <w:bottom w:val="single" w:color="000000" w:sz="8" w:space="0"/>
              <w:right w:val="single" w:color="000000" w:sz="8" w:space="0"/>
            </w:tcBorders>
            <w:shd w:val="clear" w:color="auto" w:fill="auto"/>
            <w:vAlign w:val="center"/>
          </w:tcPr>
          <w:p w14:paraId="7F5E14FD">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3154" w:type="dxa"/>
            <w:tcBorders>
              <w:top w:val="nil"/>
              <w:left w:val="nil"/>
              <w:bottom w:val="single" w:color="000000" w:sz="8" w:space="0"/>
              <w:right w:val="single" w:color="000000" w:sz="8" w:space="0"/>
            </w:tcBorders>
            <w:shd w:val="clear" w:color="auto" w:fill="auto"/>
            <w:vAlign w:val="center"/>
          </w:tcPr>
          <w:p w14:paraId="2DDFC554">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单位或者个人在生产、建设活动中发现古生物化石不报告的处罚</w:t>
            </w:r>
          </w:p>
        </w:tc>
        <w:tc>
          <w:tcPr>
            <w:tcW w:w="1192" w:type="dxa"/>
            <w:tcBorders>
              <w:top w:val="nil"/>
              <w:left w:val="nil"/>
              <w:bottom w:val="single" w:color="000000" w:sz="8" w:space="0"/>
              <w:right w:val="single" w:color="000000" w:sz="8" w:space="0"/>
            </w:tcBorders>
            <w:shd w:val="clear" w:color="auto" w:fill="auto"/>
            <w:vAlign w:val="center"/>
          </w:tcPr>
          <w:p w14:paraId="47779E51">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行政处罚</w:t>
            </w:r>
          </w:p>
        </w:tc>
        <w:tc>
          <w:tcPr>
            <w:tcW w:w="2554" w:type="dxa"/>
            <w:tcBorders>
              <w:top w:val="nil"/>
              <w:left w:val="nil"/>
              <w:bottom w:val="single" w:color="000000" w:sz="8" w:space="0"/>
              <w:right w:val="single" w:color="000000" w:sz="8" w:space="0"/>
            </w:tcBorders>
            <w:shd w:val="clear" w:color="auto" w:fill="auto"/>
            <w:vAlign w:val="center"/>
          </w:tcPr>
          <w:p w14:paraId="61A97F53">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《古生物化石保护条例实施办法》（2019修正）第五十一条</w:t>
            </w:r>
          </w:p>
        </w:tc>
        <w:tc>
          <w:tcPr>
            <w:tcW w:w="2913" w:type="dxa"/>
            <w:tcBorders>
              <w:top w:val="nil"/>
              <w:left w:val="nil"/>
              <w:bottom w:val="single" w:color="000000" w:sz="8" w:space="0"/>
              <w:right w:val="single" w:color="000000" w:sz="12" w:space="0"/>
            </w:tcBorders>
            <w:shd w:val="clear" w:color="auto" w:fill="auto"/>
            <w:vAlign w:val="center"/>
          </w:tcPr>
          <w:p w14:paraId="116CAA76">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南阳伏牛山地质公园保护发展中心</w:t>
            </w:r>
          </w:p>
        </w:tc>
      </w:tr>
      <w:tr w14:paraId="6DF50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752" w:type="dxa"/>
            <w:tcBorders>
              <w:top w:val="nil"/>
              <w:left w:val="single" w:color="000000" w:sz="12" w:space="0"/>
              <w:bottom w:val="single" w:color="000000" w:sz="8" w:space="0"/>
              <w:right w:val="single" w:color="000000" w:sz="8" w:space="0"/>
            </w:tcBorders>
            <w:shd w:val="clear" w:color="auto" w:fill="auto"/>
            <w:vAlign w:val="center"/>
          </w:tcPr>
          <w:p w14:paraId="1C43FC0E">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3154" w:type="dxa"/>
            <w:tcBorders>
              <w:top w:val="nil"/>
              <w:left w:val="nil"/>
              <w:bottom w:val="single" w:color="000000" w:sz="12" w:space="0"/>
              <w:right w:val="single" w:color="000000" w:sz="8" w:space="0"/>
            </w:tcBorders>
            <w:shd w:val="clear" w:color="auto" w:fill="auto"/>
            <w:vAlign w:val="center"/>
          </w:tcPr>
          <w:p w14:paraId="2170917E">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收藏违法获得或者不能证明合法来源的重点保护古生物化石的处罚</w:t>
            </w:r>
          </w:p>
        </w:tc>
        <w:tc>
          <w:tcPr>
            <w:tcW w:w="1192" w:type="dxa"/>
            <w:tcBorders>
              <w:top w:val="nil"/>
              <w:left w:val="nil"/>
              <w:bottom w:val="single" w:color="000000" w:sz="12" w:space="0"/>
              <w:right w:val="single" w:color="000000" w:sz="8" w:space="0"/>
            </w:tcBorders>
            <w:shd w:val="clear" w:color="auto" w:fill="auto"/>
            <w:vAlign w:val="center"/>
          </w:tcPr>
          <w:p w14:paraId="605DBC68">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行政处罚</w:t>
            </w:r>
          </w:p>
        </w:tc>
        <w:tc>
          <w:tcPr>
            <w:tcW w:w="2554" w:type="dxa"/>
            <w:tcBorders>
              <w:top w:val="nil"/>
              <w:left w:val="nil"/>
              <w:bottom w:val="single" w:color="000000" w:sz="12" w:space="0"/>
              <w:right w:val="single" w:color="000000" w:sz="8" w:space="0"/>
            </w:tcBorders>
            <w:shd w:val="clear" w:color="auto" w:fill="auto"/>
            <w:vAlign w:val="center"/>
          </w:tcPr>
          <w:p w14:paraId="468F213E">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《古生物化石保护条例实施办法》第五十四条</w:t>
            </w:r>
          </w:p>
        </w:tc>
        <w:tc>
          <w:tcPr>
            <w:tcW w:w="2913" w:type="dxa"/>
            <w:tcBorders>
              <w:top w:val="nil"/>
              <w:left w:val="nil"/>
              <w:bottom w:val="single" w:color="000000" w:sz="12" w:space="0"/>
              <w:right w:val="single" w:color="000000" w:sz="12" w:space="0"/>
            </w:tcBorders>
            <w:shd w:val="clear" w:color="auto" w:fill="auto"/>
            <w:vAlign w:val="center"/>
          </w:tcPr>
          <w:p w14:paraId="54703973">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南阳伏牛山地质公园保护发展中心</w:t>
            </w:r>
          </w:p>
        </w:tc>
      </w:tr>
    </w:tbl>
    <w:p w14:paraId="1FB0A532">
      <w:pPr>
        <w:widowControl w:val="0"/>
        <w:topLinePunct/>
        <w:bidi w:val="0"/>
        <w:spacing w:before="0" w:beforeAutospacing="0" w:after="0" w:afterAutospacing="0" w:line="560" w:lineRule="exact"/>
        <w:ind w:firstLine="643" w:firstLineChars="200"/>
        <w:jc w:val="left"/>
        <w:outlineLvl w:val="0"/>
        <w:rPr>
          <w:rFonts w:hint="eastAsia" w:ascii="宋体" w:hAnsi="宋体" w:eastAsia="黑体" w:cs="宋体"/>
          <w:b/>
          <w:bCs/>
          <w:kern w:val="44"/>
          <w:sz w:val="32"/>
          <w:szCs w:val="48"/>
          <w:lang w:val="en-US" w:eastAsia="zh-CN" w:bidi="ar"/>
        </w:rPr>
      </w:pPr>
      <w:r>
        <w:rPr>
          <w:rFonts w:hint="eastAsia" w:ascii="宋体" w:hAnsi="宋体" w:eastAsia="黑体" w:cs="宋体"/>
          <w:b/>
          <w:bCs/>
          <w:kern w:val="44"/>
          <w:sz w:val="32"/>
          <w:szCs w:val="48"/>
          <w:lang w:val="en-US" w:eastAsia="zh-CN" w:bidi="ar"/>
        </w:rPr>
        <w:t>二、双方权责</w:t>
      </w:r>
    </w:p>
    <w:p w14:paraId="08922A9C">
      <w:pPr>
        <w:pStyle w:val="3"/>
        <w:bidi w:val="0"/>
        <w:rPr>
          <w:rFonts w:hint="eastAsia"/>
          <w:lang w:val="en-US" w:eastAsia="zh-CN"/>
        </w:rPr>
      </w:pPr>
      <w:r>
        <w:rPr>
          <w:rFonts w:hint="eastAsia"/>
          <w:lang w:val="en-US" w:eastAsia="zh-CN"/>
        </w:rPr>
        <w:t>（一）委托单位的权责</w:t>
      </w:r>
    </w:p>
    <w:p w14:paraId="5B085C2E">
      <w:pPr>
        <w:widowControl w:val="0"/>
        <w:bidi w:val="0"/>
        <w:spacing w:line="560" w:lineRule="exact"/>
        <w:ind w:firstLine="640" w:firstLineChars="200"/>
        <w:jc w:val="both"/>
        <w:rPr>
          <w:rFonts w:hint="eastAsia" w:ascii="仿宋" w:hAnsi="仿宋" w:eastAsia="仿宋" w:cs="仿宋"/>
          <w:kern w:val="2"/>
          <w:sz w:val="32"/>
          <w:szCs w:val="24"/>
          <w:lang w:val="en-US" w:eastAsia="zh-CN" w:bidi="ar-SA"/>
        </w:rPr>
      </w:pPr>
      <w:r>
        <w:rPr>
          <w:rFonts w:hint="eastAsia" w:ascii="仿宋" w:hAnsi="仿宋" w:eastAsia="仿宋" w:cs="仿宋"/>
          <w:kern w:val="2"/>
          <w:sz w:val="32"/>
          <w:szCs w:val="24"/>
          <w:lang w:val="en-US" w:eastAsia="zh-CN" w:bidi="ar-SA"/>
        </w:rPr>
        <w:t>1.指导和监督受委托单位在委托权限内以委托单位名义实施行政行为。</w:t>
      </w:r>
    </w:p>
    <w:p w14:paraId="3995F878">
      <w:pPr>
        <w:widowControl w:val="0"/>
        <w:bidi w:val="0"/>
        <w:spacing w:line="560" w:lineRule="exact"/>
        <w:ind w:firstLine="640" w:firstLineChars="200"/>
        <w:jc w:val="both"/>
        <w:rPr>
          <w:rFonts w:hint="eastAsia" w:ascii="仿宋" w:hAnsi="仿宋" w:eastAsia="仿宋" w:cs="仿宋"/>
          <w:kern w:val="2"/>
          <w:sz w:val="32"/>
          <w:szCs w:val="24"/>
          <w:lang w:val="en-US" w:eastAsia="zh-CN" w:bidi="ar-SA"/>
        </w:rPr>
      </w:pPr>
      <w:r>
        <w:rPr>
          <w:rFonts w:hint="eastAsia" w:ascii="仿宋" w:hAnsi="仿宋" w:eastAsia="仿宋" w:cs="仿宋"/>
          <w:kern w:val="2"/>
          <w:sz w:val="32"/>
          <w:szCs w:val="24"/>
          <w:lang w:val="en-US" w:eastAsia="zh-CN" w:bidi="ar-SA"/>
        </w:rPr>
        <w:t>2.对受委托单位违法或者不适当的行政行为予以纠正或者撤销。</w:t>
      </w:r>
    </w:p>
    <w:p w14:paraId="2407D712">
      <w:pPr>
        <w:widowControl w:val="0"/>
        <w:bidi w:val="0"/>
        <w:spacing w:line="560" w:lineRule="exact"/>
        <w:ind w:firstLine="640" w:firstLineChars="200"/>
        <w:jc w:val="both"/>
        <w:rPr>
          <w:rFonts w:hint="eastAsia" w:ascii="仿宋" w:hAnsi="仿宋" w:eastAsia="仿宋" w:cs="仿宋"/>
          <w:kern w:val="2"/>
          <w:sz w:val="32"/>
          <w:szCs w:val="24"/>
          <w:lang w:val="en-US" w:eastAsia="zh-CN" w:bidi="ar-SA"/>
        </w:rPr>
      </w:pPr>
      <w:r>
        <w:rPr>
          <w:rFonts w:hint="eastAsia" w:ascii="仿宋" w:hAnsi="仿宋" w:eastAsia="仿宋" w:cs="仿宋"/>
          <w:kern w:val="2"/>
          <w:sz w:val="32"/>
          <w:szCs w:val="24"/>
          <w:lang w:val="en-US" w:eastAsia="zh-CN" w:bidi="ar-SA"/>
        </w:rPr>
        <w:t>3.通过日常检查、随机抽查等形式监督委托事项实施；发现问题的，有权立即责令受托方限期整改，逾期未整改的，委托方有权暂停委托权限。</w:t>
      </w:r>
    </w:p>
    <w:p w14:paraId="5940CA3C">
      <w:pPr>
        <w:pStyle w:val="3"/>
        <w:bidi w:val="0"/>
        <w:rPr>
          <w:rFonts w:hint="eastAsia"/>
          <w:lang w:val="en-US" w:eastAsia="zh-CN"/>
        </w:rPr>
      </w:pPr>
      <w:r>
        <w:rPr>
          <w:rFonts w:hint="eastAsia"/>
          <w:lang w:val="en-US" w:eastAsia="zh-CN"/>
        </w:rPr>
        <w:t>（二）受委托单位的权责</w:t>
      </w:r>
    </w:p>
    <w:p w14:paraId="330AA481">
      <w:pPr>
        <w:widowControl w:val="0"/>
        <w:bidi w:val="0"/>
        <w:spacing w:line="560" w:lineRule="exact"/>
        <w:ind w:firstLine="640" w:firstLineChars="200"/>
        <w:jc w:val="both"/>
        <w:rPr>
          <w:rFonts w:hint="eastAsia" w:ascii="仿宋" w:hAnsi="仿宋" w:eastAsia="仿宋" w:cs="仿宋"/>
          <w:kern w:val="2"/>
          <w:sz w:val="32"/>
          <w:szCs w:val="24"/>
          <w:lang w:val="en-US" w:eastAsia="zh-CN" w:bidi="ar-SA"/>
        </w:rPr>
      </w:pPr>
      <w:r>
        <w:rPr>
          <w:rFonts w:hint="eastAsia" w:ascii="仿宋" w:hAnsi="仿宋" w:eastAsia="仿宋" w:cs="仿宋"/>
          <w:kern w:val="2"/>
          <w:sz w:val="32"/>
          <w:szCs w:val="24"/>
          <w:lang w:val="en-US" w:eastAsia="zh-CN" w:bidi="ar-SA"/>
        </w:rPr>
        <w:t>1.受委托单位必须以委托单位的名义，在委托的权限、期限和范围内实施行政</w:t>
      </w:r>
      <w:r>
        <w:rPr>
          <w:rFonts w:hint="eastAsia" w:cs="仿宋"/>
          <w:kern w:val="2"/>
          <w:sz w:val="32"/>
          <w:szCs w:val="24"/>
          <w:lang w:val="en-US" w:eastAsia="zh-CN" w:bidi="ar-SA"/>
        </w:rPr>
        <w:t>事项</w:t>
      </w:r>
      <w:r>
        <w:rPr>
          <w:rFonts w:hint="eastAsia" w:ascii="仿宋" w:hAnsi="仿宋" w:eastAsia="仿宋" w:cs="仿宋"/>
          <w:kern w:val="2"/>
          <w:sz w:val="32"/>
          <w:szCs w:val="24"/>
          <w:lang w:val="en-US" w:eastAsia="zh-CN" w:bidi="ar-SA"/>
        </w:rPr>
        <w:t>。</w:t>
      </w:r>
    </w:p>
    <w:p w14:paraId="7448CAE2">
      <w:pPr>
        <w:widowControl w:val="0"/>
        <w:bidi w:val="0"/>
        <w:spacing w:line="560" w:lineRule="exact"/>
        <w:ind w:firstLine="640" w:firstLineChars="200"/>
        <w:jc w:val="both"/>
        <w:rPr>
          <w:rFonts w:hint="eastAsia" w:ascii="仿宋" w:hAnsi="仿宋" w:eastAsia="仿宋" w:cs="仿宋"/>
          <w:kern w:val="2"/>
          <w:sz w:val="32"/>
          <w:szCs w:val="24"/>
          <w:lang w:val="en-US" w:eastAsia="zh-CN" w:bidi="ar-SA"/>
        </w:rPr>
      </w:pPr>
      <w:r>
        <w:rPr>
          <w:rFonts w:hint="eastAsia" w:ascii="仿宋" w:hAnsi="仿宋" w:eastAsia="仿宋" w:cs="仿宋"/>
          <w:kern w:val="2"/>
          <w:sz w:val="32"/>
          <w:szCs w:val="24"/>
          <w:lang w:val="en-US" w:eastAsia="zh-CN" w:bidi="ar-SA"/>
        </w:rPr>
        <w:t>2.受委托单位不得再委托其他任何组织或者个人实施委托事项。</w:t>
      </w:r>
    </w:p>
    <w:p w14:paraId="29BBD2A4">
      <w:pPr>
        <w:widowControl w:val="0"/>
        <w:bidi w:val="0"/>
        <w:spacing w:line="560" w:lineRule="exact"/>
        <w:ind w:firstLine="640" w:firstLineChars="200"/>
        <w:jc w:val="both"/>
        <w:rPr>
          <w:rFonts w:hint="eastAsia" w:ascii="仿宋" w:hAnsi="仿宋" w:eastAsia="仿宋" w:cs="仿宋"/>
          <w:kern w:val="2"/>
          <w:sz w:val="32"/>
          <w:szCs w:val="24"/>
          <w:lang w:val="en-US" w:eastAsia="zh-CN" w:bidi="ar-SA"/>
        </w:rPr>
      </w:pPr>
      <w:r>
        <w:rPr>
          <w:rFonts w:hint="eastAsia" w:ascii="仿宋" w:hAnsi="仿宋" w:eastAsia="仿宋" w:cs="仿宋"/>
          <w:kern w:val="2"/>
          <w:sz w:val="32"/>
          <w:szCs w:val="24"/>
          <w:lang w:val="en-US" w:eastAsia="zh-CN" w:bidi="ar-SA"/>
        </w:rPr>
        <w:t>3.接受委托单位的指导和监督。</w:t>
      </w:r>
    </w:p>
    <w:p w14:paraId="2CF3FCA7">
      <w:pPr>
        <w:widowControl w:val="0"/>
        <w:bidi w:val="0"/>
        <w:spacing w:line="560" w:lineRule="exact"/>
        <w:ind w:firstLine="640" w:firstLineChars="200"/>
        <w:jc w:val="both"/>
        <w:rPr>
          <w:rFonts w:hint="eastAsia" w:ascii="仿宋" w:hAnsi="仿宋" w:eastAsia="仿宋" w:cs="仿宋"/>
          <w:kern w:val="2"/>
          <w:sz w:val="32"/>
          <w:szCs w:val="24"/>
          <w:lang w:val="en-US" w:eastAsia="zh-CN" w:bidi="ar-SA"/>
        </w:rPr>
      </w:pPr>
      <w:r>
        <w:rPr>
          <w:rFonts w:hint="eastAsia" w:ascii="仿宋" w:hAnsi="仿宋" w:eastAsia="仿宋" w:cs="仿宋"/>
          <w:kern w:val="2"/>
          <w:sz w:val="32"/>
          <w:szCs w:val="24"/>
          <w:lang w:val="en-US" w:eastAsia="zh-CN" w:bidi="ar-SA"/>
        </w:rPr>
        <w:t>4.受委托单位需每半年向委托单位汇报委托事项实施情况。</w:t>
      </w:r>
    </w:p>
    <w:p w14:paraId="5C72E0FE">
      <w:pPr>
        <w:widowControl w:val="0"/>
        <w:topLinePunct/>
        <w:bidi w:val="0"/>
        <w:spacing w:before="0" w:beforeAutospacing="0" w:after="0" w:afterAutospacing="0" w:line="560" w:lineRule="exact"/>
        <w:ind w:firstLine="643" w:firstLineChars="200"/>
        <w:jc w:val="left"/>
        <w:outlineLvl w:val="0"/>
        <w:rPr>
          <w:rFonts w:hint="eastAsia" w:ascii="宋体" w:hAnsi="宋体" w:eastAsia="黑体" w:cs="宋体"/>
          <w:b/>
          <w:bCs/>
          <w:kern w:val="44"/>
          <w:sz w:val="32"/>
          <w:szCs w:val="48"/>
          <w:lang w:val="en-US" w:eastAsia="zh-CN" w:bidi="ar"/>
        </w:rPr>
      </w:pPr>
      <w:r>
        <w:rPr>
          <w:rFonts w:hint="eastAsia" w:ascii="宋体" w:hAnsi="宋体" w:eastAsia="黑体" w:cs="宋体"/>
          <w:b/>
          <w:bCs/>
          <w:kern w:val="44"/>
          <w:sz w:val="32"/>
          <w:szCs w:val="48"/>
          <w:lang w:val="en-US" w:eastAsia="zh-CN" w:bidi="ar"/>
        </w:rPr>
        <w:t>三、委托期限</w:t>
      </w:r>
    </w:p>
    <w:p w14:paraId="33D8BC32">
      <w:pPr>
        <w:widowControl w:val="0"/>
        <w:bidi w:val="0"/>
        <w:spacing w:line="560" w:lineRule="exact"/>
        <w:ind w:firstLine="640" w:firstLineChars="200"/>
        <w:jc w:val="both"/>
        <w:rPr>
          <w:rFonts w:hint="eastAsia" w:ascii="仿宋" w:hAnsi="仿宋" w:eastAsia="仿宋" w:cs="仿宋"/>
          <w:kern w:val="2"/>
          <w:sz w:val="32"/>
          <w:szCs w:val="24"/>
          <w:lang w:val="en-US" w:eastAsia="zh-CN" w:bidi="ar-SA"/>
        </w:rPr>
      </w:pPr>
      <w:r>
        <w:rPr>
          <w:rFonts w:hint="eastAsia" w:ascii="仿宋" w:hAnsi="仿宋" w:eastAsia="仿宋" w:cs="仿宋"/>
          <w:kern w:val="2"/>
          <w:sz w:val="32"/>
          <w:szCs w:val="24"/>
          <w:lang w:val="en-US" w:eastAsia="zh-CN" w:bidi="ar-SA"/>
        </w:rPr>
        <w:t>本委托权限自2025年9月1日至2030年9月1日。</w:t>
      </w:r>
    </w:p>
    <w:p w14:paraId="22E3FC6D">
      <w:pPr>
        <w:widowControl w:val="0"/>
        <w:bidi w:val="0"/>
        <w:spacing w:line="560" w:lineRule="exact"/>
        <w:ind w:firstLine="640" w:firstLineChars="200"/>
        <w:jc w:val="both"/>
        <w:rPr>
          <w:rFonts w:hint="eastAsia" w:ascii="仿宋" w:hAnsi="仿宋" w:eastAsia="仿宋" w:cs="仿宋"/>
          <w:kern w:val="2"/>
          <w:sz w:val="32"/>
          <w:szCs w:val="24"/>
          <w:lang w:val="en-US" w:eastAsia="zh-CN" w:bidi="ar-SA"/>
        </w:rPr>
      </w:pPr>
      <w:r>
        <w:rPr>
          <w:rFonts w:hint="eastAsia" w:ascii="仿宋" w:hAnsi="仿宋" w:eastAsia="仿宋" w:cs="仿宋"/>
          <w:kern w:val="2"/>
          <w:sz w:val="32"/>
          <w:szCs w:val="24"/>
          <w:lang w:val="en-US" w:eastAsia="zh-CN" w:bidi="ar-SA"/>
        </w:rPr>
        <w:t>期满需要继续委托的，应重新签订委托书。</w:t>
      </w:r>
    </w:p>
    <w:p w14:paraId="257702EB">
      <w:pPr>
        <w:widowControl w:val="0"/>
        <w:topLinePunct/>
        <w:bidi w:val="0"/>
        <w:spacing w:before="0" w:beforeAutospacing="0" w:after="0" w:afterAutospacing="0" w:line="560" w:lineRule="exact"/>
        <w:ind w:firstLine="643" w:firstLineChars="200"/>
        <w:jc w:val="left"/>
        <w:outlineLvl w:val="0"/>
        <w:rPr>
          <w:rFonts w:hint="eastAsia" w:ascii="宋体" w:hAnsi="宋体" w:eastAsia="黑体" w:cs="宋体"/>
          <w:b/>
          <w:bCs/>
          <w:kern w:val="44"/>
          <w:sz w:val="32"/>
          <w:szCs w:val="48"/>
          <w:lang w:val="en-US" w:eastAsia="zh-CN" w:bidi="ar"/>
        </w:rPr>
      </w:pPr>
      <w:r>
        <w:rPr>
          <w:rFonts w:hint="eastAsia" w:ascii="宋体" w:hAnsi="宋体" w:eastAsia="黑体" w:cs="宋体"/>
          <w:b/>
          <w:bCs/>
          <w:kern w:val="44"/>
          <w:sz w:val="32"/>
          <w:szCs w:val="48"/>
          <w:lang w:val="en-US" w:eastAsia="zh-CN" w:bidi="ar"/>
        </w:rPr>
        <w:t>四、其他事项</w:t>
      </w:r>
    </w:p>
    <w:p w14:paraId="3320F3E8">
      <w:pPr>
        <w:widowControl w:val="0"/>
        <w:bidi w:val="0"/>
        <w:spacing w:line="560" w:lineRule="exact"/>
        <w:ind w:firstLine="640" w:firstLineChars="200"/>
        <w:jc w:val="both"/>
        <w:rPr>
          <w:rFonts w:hint="eastAsia" w:ascii="仿宋" w:hAnsi="仿宋" w:eastAsia="仿宋" w:cs="仿宋"/>
          <w:kern w:val="2"/>
          <w:sz w:val="32"/>
          <w:szCs w:val="24"/>
          <w:lang w:val="en-US" w:eastAsia="zh-CN" w:bidi="ar-SA"/>
        </w:rPr>
      </w:pPr>
      <w:r>
        <w:rPr>
          <w:rFonts w:hint="eastAsia" w:ascii="仿宋" w:hAnsi="仿宋" w:eastAsia="仿宋" w:cs="仿宋"/>
          <w:kern w:val="2"/>
          <w:sz w:val="32"/>
          <w:szCs w:val="24"/>
          <w:lang w:val="en-US" w:eastAsia="zh-CN" w:bidi="ar-SA"/>
        </w:rPr>
        <w:t>本委托书需通过政府网站同步向社会公示。</w:t>
      </w:r>
    </w:p>
    <w:p w14:paraId="33F2DCDB">
      <w:pPr>
        <w:widowControl w:val="0"/>
        <w:bidi w:val="0"/>
        <w:spacing w:line="560" w:lineRule="exact"/>
        <w:ind w:firstLine="640" w:firstLineChars="200"/>
        <w:jc w:val="both"/>
        <w:rPr>
          <w:rFonts w:hint="eastAsia" w:ascii="仿宋" w:hAnsi="仿宋" w:eastAsia="仿宋" w:cs="仿宋"/>
          <w:kern w:val="2"/>
          <w:sz w:val="32"/>
          <w:szCs w:val="24"/>
          <w:lang w:val="en-US" w:eastAsia="zh-CN" w:bidi="ar-SA"/>
        </w:rPr>
      </w:pPr>
      <w:r>
        <w:rPr>
          <w:rFonts w:hint="eastAsia" w:ascii="仿宋" w:hAnsi="仿宋" w:eastAsia="仿宋" w:cs="仿宋"/>
          <w:kern w:val="2"/>
          <w:sz w:val="32"/>
          <w:szCs w:val="24"/>
          <w:lang w:val="en-US" w:eastAsia="zh-CN" w:bidi="ar-SA"/>
        </w:rPr>
        <w:t>本委托书一式二份，委托单位和受委托单位各执一份。</w:t>
      </w:r>
    </w:p>
    <w:p w14:paraId="4C086F45">
      <w:pPr>
        <w:ind w:left="0" w:leftChars="0" w:firstLine="0" w:firstLineChars="0"/>
        <w:rPr>
          <w:rFonts w:hint="eastAsia"/>
          <w:lang w:val="en-US" w:eastAsia="zh-CN"/>
        </w:rPr>
      </w:pPr>
    </w:p>
    <w:p w14:paraId="1B6B7345">
      <w:pPr>
        <w:ind w:left="0" w:leftChars="0" w:firstLine="0" w:firstLineChars="0"/>
        <w:rPr>
          <w:rFonts w:hint="eastAsia"/>
          <w:lang w:val="en-US" w:eastAsia="zh-CN"/>
        </w:rPr>
      </w:pPr>
    </w:p>
    <w:p w14:paraId="6564BF95">
      <w:pPr>
        <w:ind w:left="0" w:leftChars="0" w:firstLine="0" w:firstLineChars="0"/>
        <w:rPr>
          <w:rFonts w:hint="default"/>
          <w:lang w:val="en-US" w:eastAsia="zh-CN"/>
        </w:rPr>
      </w:pPr>
    </w:p>
    <w:p w14:paraId="29F0EB2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C10775"/>
    <w:rsid w:val="01FF7AE1"/>
    <w:rsid w:val="08220675"/>
    <w:rsid w:val="0C197FC3"/>
    <w:rsid w:val="116E6768"/>
    <w:rsid w:val="1EA529D6"/>
    <w:rsid w:val="1F9A4DA0"/>
    <w:rsid w:val="24B45E33"/>
    <w:rsid w:val="26D22C1A"/>
    <w:rsid w:val="2712201D"/>
    <w:rsid w:val="29C04DB7"/>
    <w:rsid w:val="2AF6220E"/>
    <w:rsid w:val="2E8C13F6"/>
    <w:rsid w:val="31486002"/>
    <w:rsid w:val="3DC10775"/>
    <w:rsid w:val="43E0566E"/>
    <w:rsid w:val="44D12920"/>
    <w:rsid w:val="46F014C3"/>
    <w:rsid w:val="504970BD"/>
    <w:rsid w:val="529F2DD9"/>
    <w:rsid w:val="59A7037B"/>
    <w:rsid w:val="5C9F19B2"/>
    <w:rsid w:val="64137066"/>
    <w:rsid w:val="672D3D08"/>
    <w:rsid w:val="69BD10B7"/>
    <w:rsid w:val="6F8E0E92"/>
    <w:rsid w:val="77EA4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both"/>
    </w:pPr>
    <w:rPr>
      <w:rFonts w:ascii="仿宋" w:hAnsi="仿宋" w:eastAsia="仿宋" w:cs="仿宋"/>
      <w:kern w:val="2"/>
      <w:sz w:val="32"/>
      <w:szCs w:val="24"/>
      <w:lang w:val="en-US" w:eastAsia="zh-CN" w:bidi="ar-SA"/>
    </w:rPr>
  </w:style>
  <w:style w:type="paragraph" w:styleId="2">
    <w:name w:val="heading 1"/>
    <w:basedOn w:val="1"/>
    <w:next w:val="1"/>
    <w:qFormat/>
    <w:uiPriority w:val="0"/>
    <w:pPr>
      <w:widowControl w:val="0"/>
      <w:topLinePunct/>
      <w:spacing w:before="0" w:beforeAutospacing="0" w:after="0" w:afterAutospacing="0" w:line="560" w:lineRule="exact"/>
      <w:ind w:firstLine="883" w:firstLineChars="200"/>
      <w:jc w:val="left"/>
      <w:outlineLvl w:val="0"/>
    </w:pPr>
    <w:rPr>
      <w:rFonts w:hint="eastAsia" w:ascii="宋体" w:hAnsi="宋体" w:eastAsia="黑体" w:cs="宋体"/>
      <w:b/>
      <w:bCs/>
      <w:kern w:val="44"/>
      <w:szCs w:val="48"/>
      <w:lang w:bidi="ar"/>
    </w:rPr>
  </w:style>
  <w:style w:type="paragraph" w:styleId="3">
    <w:name w:val="heading 2"/>
    <w:next w:val="1"/>
    <w:unhideWhenUsed/>
    <w:qFormat/>
    <w:uiPriority w:val="0"/>
    <w:pPr>
      <w:keepNext/>
      <w:keepLines/>
      <w:spacing w:beforeLines="0" w:beforeAutospacing="0" w:afterLines="0" w:afterAutospacing="0" w:line="560" w:lineRule="exact"/>
      <w:ind w:firstLine="883" w:firstLineChars="200"/>
      <w:outlineLvl w:val="1"/>
    </w:pPr>
    <w:rPr>
      <w:rFonts w:ascii="Arial" w:hAnsi="Arial" w:eastAsia="楷体" w:cs="Times New Roman"/>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题目"/>
    <w:next w:val="1"/>
    <w:link w:val="10"/>
    <w:qFormat/>
    <w:uiPriority w:val="0"/>
    <w:pPr>
      <w:keepNext/>
      <w:keepLines/>
      <w:spacing w:beforeLines="0" w:afterLines="0" w:line="640" w:lineRule="exact"/>
      <w:ind w:firstLine="0"/>
      <w:jc w:val="center"/>
      <w:outlineLvl w:val="1"/>
    </w:pPr>
    <w:rPr>
      <w:rFonts w:hint="default" w:ascii="方正小标宋简体" w:hAnsi="方正小标宋简体" w:eastAsia="方正小标宋简体" w:cs="Times New Roman"/>
      <w:sz w:val="44"/>
    </w:rPr>
  </w:style>
  <w:style w:type="character" w:customStyle="1" w:styleId="10">
    <w:name w:val="题目 Char"/>
    <w:link w:val="9"/>
    <w:qFormat/>
    <w:uiPriority w:val="0"/>
    <w:rPr>
      <w:rFonts w:hint="default" w:ascii="方正小标宋简体" w:hAnsi="方正小标宋简体" w:eastAsia="方正小标宋简体" w:cs="Times New Roman"/>
      <w:sz w:val="44"/>
    </w:rPr>
  </w:style>
  <w:style w:type="character" w:customStyle="1" w:styleId="11">
    <w:name w:val="font41"/>
    <w:basedOn w:val="7"/>
    <w:qFormat/>
    <w:uiPriority w:val="0"/>
    <w:rPr>
      <w:rFonts w:hint="eastAsia" w:ascii="微软雅黑" w:hAnsi="微软雅黑" w:eastAsia="微软雅黑" w:cs="微软雅黑"/>
      <w:color w:val="FF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871</Words>
  <Characters>898</Characters>
  <Lines>0</Lines>
  <Paragraphs>0</Paragraphs>
  <TotalTime>2</TotalTime>
  <ScaleCrop>false</ScaleCrop>
  <LinksUpToDate>false</LinksUpToDate>
  <CharactersWithSpaces>906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2025-08-29T02:59:00Z</dcterms:created>
  <dc:creator>segio</dc:creator>
  <cp:lastModifiedBy>ljs</cp:lastModifiedBy>
  <dcterms:modified xsi:type="dcterms:W3CDTF">2025-09-24T08:01:58Z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A49C3F4885924CCA8FCA1AAE3091AF41_13</vt:lpwstr>
  </property>
  <property fmtid="{D5CDD505-2E9C-101B-9397-08002B2CF9AE}" pid="4" name="KSOTemplateDocerSaveRecord">
    <vt:lpwstr>eyJoZGlkIjoiYzkyNzMyZTcwZDM1M2FkOWVjNDliMTg3MmU4ZWQwYWMiLCJ1c2VySWQiOiI0OTA2MDM0MzMifQ==</vt:lpwstr>
  </property>
</Properties>
</file>